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EC049B" w14:textId="77777777" w:rsidR="00BF40A8" w:rsidRPr="0041773A" w:rsidRDefault="0052730B">
      <w:pPr>
        <w:rPr>
          <w:rFonts w:ascii="Times New Roman" w:hAnsi="Times New Roman" w:cs="Times New Roman"/>
          <w:b/>
          <w:sz w:val="24"/>
          <w:szCs w:val="24"/>
        </w:rPr>
      </w:pPr>
      <w:r w:rsidRPr="0041773A">
        <w:rPr>
          <w:rFonts w:ascii="Times New Roman" w:hAnsi="Times New Roman" w:cs="Times New Roman"/>
          <w:b/>
          <w:sz w:val="24"/>
          <w:szCs w:val="24"/>
        </w:rPr>
        <w:t xml:space="preserve">Annex </w:t>
      </w:r>
      <w:r w:rsidR="00AD7973" w:rsidRPr="0041773A">
        <w:rPr>
          <w:rFonts w:ascii="Times New Roman" w:hAnsi="Times New Roman" w:cs="Times New Roman"/>
          <w:b/>
          <w:sz w:val="24"/>
          <w:szCs w:val="24"/>
        </w:rPr>
        <w:t xml:space="preserve">2 </w:t>
      </w:r>
      <w:r w:rsidRPr="0041773A">
        <w:rPr>
          <w:rFonts w:ascii="Times New Roman" w:hAnsi="Times New Roman" w:cs="Times New Roman"/>
          <w:b/>
          <w:sz w:val="24"/>
          <w:szCs w:val="24"/>
        </w:rPr>
        <w:t>- List of relevant Laws and Regulations</w:t>
      </w:r>
    </w:p>
    <w:p w14:paraId="6B7966E1" w14:textId="77777777" w:rsidR="0036619A" w:rsidRPr="0041773A" w:rsidRDefault="0036619A" w:rsidP="0052730B">
      <w:pPr>
        <w:spacing w:after="0" w:line="240" w:lineRule="auto"/>
        <w:rPr>
          <w:rFonts w:ascii="Times New Roman" w:hAnsi="Times New Roman" w:cs="Times New Roman"/>
          <w:b/>
          <w:i/>
          <w:sz w:val="24"/>
          <w:szCs w:val="24"/>
        </w:rPr>
      </w:pPr>
    </w:p>
    <w:p w14:paraId="2B6CA4E6" w14:textId="77777777" w:rsidR="0036619A" w:rsidRPr="0041773A" w:rsidRDefault="0036619A" w:rsidP="0052730B">
      <w:pPr>
        <w:spacing w:after="0" w:line="240" w:lineRule="auto"/>
        <w:rPr>
          <w:rFonts w:ascii="Times New Roman" w:hAnsi="Times New Roman" w:cs="Times New Roman"/>
          <w:b/>
          <w:i/>
          <w:sz w:val="24"/>
          <w:szCs w:val="24"/>
        </w:rPr>
      </w:pPr>
      <w:r w:rsidRPr="0041773A">
        <w:rPr>
          <w:rFonts w:ascii="Times New Roman" w:hAnsi="Times New Roman" w:cs="Times New Roman"/>
          <w:b/>
          <w:i/>
          <w:sz w:val="24"/>
          <w:szCs w:val="24"/>
        </w:rPr>
        <w:t>Relevant EU Legislation (not directly applicable in Montenegro)</w:t>
      </w:r>
    </w:p>
    <w:p w14:paraId="01FED969" w14:textId="77777777" w:rsidR="0036619A" w:rsidRPr="0041773A" w:rsidRDefault="0036619A" w:rsidP="00E0345A">
      <w:pPr>
        <w:pStyle w:val="ListParagraph"/>
        <w:numPr>
          <w:ilvl w:val="0"/>
          <w:numId w:val="5"/>
        </w:numPr>
        <w:spacing w:after="0" w:line="240" w:lineRule="auto"/>
        <w:ind w:left="360"/>
        <w:jc w:val="both"/>
        <w:rPr>
          <w:rFonts w:ascii="Times New Roman" w:hAnsi="Times New Roman" w:cs="Times New Roman"/>
          <w:sz w:val="24"/>
          <w:szCs w:val="24"/>
        </w:rPr>
      </w:pPr>
      <w:r w:rsidRPr="0041773A">
        <w:rPr>
          <w:rFonts w:ascii="Times New Roman" w:hAnsi="Times New Roman" w:cs="Times New Roman"/>
          <w:sz w:val="24"/>
          <w:szCs w:val="24"/>
        </w:rPr>
        <w:t>DIRECTIVE 2010/84/EU OF THE EUROPEAN PARLIAMENT AND OF THE COUNCIL of 15 December 2010 amending, as regards pharmacovigilance, Directive 2001/83/EC on the Community code relating to medicinal products for human use</w:t>
      </w:r>
    </w:p>
    <w:p w14:paraId="28E73A0F" w14:textId="77777777" w:rsidR="0036619A" w:rsidRPr="0041773A" w:rsidRDefault="0036619A" w:rsidP="00E0345A">
      <w:pPr>
        <w:pStyle w:val="ListParagraph"/>
        <w:numPr>
          <w:ilvl w:val="0"/>
          <w:numId w:val="5"/>
        </w:numPr>
        <w:spacing w:after="0" w:line="240" w:lineRule="auto"/>
        <w:ind w:left="360"/>
        <w:jc w:val="both"/>
        <w:rPr>
          <w:rFonts w:ascii="Times New Roman" w:hAnsi="Times New Roman" w:cs="Times New Roman"/>
          <w:sz w:val="24"/>
          <w:szCs w:val="24"/>
        </w:rPr>
      </w:pPr>
      <w:r w:rsidRPr="0041773A">
        <w:rPr>
          <w:rFonts w:ascii="Times New Roman" w:hAnsi="Times New Roman" w:cs="Times New Roman"/>
          <w:sz w:val="24"/>
          <w:szCs w:val="24"/>
        </w:rPr>
        <w:t>DIRECTIVE 2012/26/EU OF THE EUROPEAN PARLIAMENT AND OF THE COUNCIL of 25 October 2012 amending Directive 2001/83/EC as regards pharmacovigilance</w:t>
      </w:r>
    </w:p>
    <w:p w14:paraId="49AB0BAC" w14:textId="77777777" w:rsidR="00F97257" w:rsidRPr="0041773A" w:rsidRDefault="00F97257" w:rsidP="00E0345A">
      <w:pPr>
        <w:pStyle w:val="ListParagraph"/>
        <w:numPr>
          <w:ilvl w:val="0"/>
          <w:numId w:val="5"/>
        </w:numPr>
        <w:spacing w:after="0" w:line="240" w:lineRule="auto"/>
        <w:ind w:left="360"/>
        <w:jc w:val="both"/>
        <w:rPr>
          <w:rFonts w:ascii="Times New Roman" w:hAnsi="Times New Roman" w:cs="Times New Roman"/>
          <w:sz w:val="24"/>
          <w:szCs w:val="24"/>
        </w:rPr>
      </w:pPr>
      <w:r w:rsidRPr="0041773A">
        <w:rPr>
          <w:rFonts w:ascii="Times New Roman" w:hAnsi="Times New Roman" w:cs="Times New Roman"/>
          <w:sz w:val="24"/>
          <w:szCs w:val="24"/>
        </w:rPr>
        <w:t>DIRECTIVE 2001/83/EC OF THE EUROPEAN PARLIAMENT AND OF THE COUNCIL of 6 November 2001 on the Community code relating to medicinal products for human use</w:t>
      </w:r>
    </w:p>
    <w:p w14:paraId="41EB9522" w14:textId="77777777" w:rsidR="00DA6AEE" w:rsidRPr="0041773A" w:rsidRDefault="00DA6AEE" w:rsidP="00E0345A">
      <w:pPr>
        <w:pStyle w:val="ListParagraph"/>
        <w:numPr>
          <w:ilvl w:val="0"/>
          <w:numId w:val="5"/>
        </w:numPr>
        <w:spacing w:after="0" w:line="240" w:lineRule="auto"/>
        <w:ind w:left="360"/>
        <w:jc w:val="both"/>
        <w:rPr>
          <w:rFonts w:ascii="Times New Roman" w:hAnsi="Times New Roman" w:cs="Times New Roman"/>
          <w:sz w:val="24"/>
          <w:szCs w:val="24"/>
        </w:rPr>
      </w:pPr>
      <w:r w:rsidRPr="0041773A">
        <w:rPr>
          <w:rFonts w:ascii="Times New Roman" w:hAnsi="Times New Roman" w:cs="Times New Roman"/>
          <w:sz w:val="24"/>
          <w:szCs w:val="24"/>
        </w:rPr>
        <w:t xml:space="preserve">DIRECTIVE 2001/82/EC OF THE EUROPEAN PARLIAMENT AND OF THE COUNCIL of 6 November 2001 on the Community code relating to veterinary medicinal products </w:t>
      </w:r>
    </w:p>
    <w:p w14:paraId="05C5166B" w14:textId="77777777" w:rsidR="00F97257" w:rsidRPr="0041773A" w:rsidRDefault="00F97257" w:rsidP="00E0345A">
      <w:pPr>
        <w:pStyle w:val="ListParagraph"/>
        <w:numPr>
          <w:ilvl w:val="0"/>
          <w:numId w:val="5"/>
        </w:numPr>
        <w:spacing w:after="0" w:line="240" w:lineRule="auto"/>
        <w:ind w:left="360"/>
        <w:jc w:val="both"/>
        <w:rPr>
          <w:rFonts w:ascii="Times New Roman" w:hAnsi="Times New Roman" w:cs="Times New Roman"/>
          <w:sz w:val="24"/>
          <w:szCs w:val="24"/>
        </w:rPr>
      </w:pPr>
      <w:r w:rsidRPr="0041773A">
        <w:rPr>
          <w:rFonts w:ascii="Times New Roman" w:hAnsi="Times New Roman" w:cs="Times New Roman"/>
          <w:sz w:val="24"/>
          <w:szCs w:val="24"/>
        </w:rPr>
        <w:t>DIRECTIVE 2004/27/EC OF THE EUROPEAN PARLIAMENT AND OF THE COUNCIL of 31 March 2004 amending Directive 2001/83/EC on the Community code relating to medicinal products for human use</w:t>
      </w:r>
    </w:p>
    <w:p w14:paraId="74F9AAE9" w14:textId="77777777" w:rsidR="0036619A" w:rsidRPr="0041773A" w:rsidRDefault="0036619A" w:rsidP="00E0345A">
      <w:pPr>
        <w:pStyle w:val="ListParagraph"/>
        <w:numPr>
          <w:ilvl w:val="0"/>
          <w:numId w:val="5"/>
        </w:numPr>
        <w:spacing w:after="0" w:line="240" w:lineRule="auto"/>
        <w:ind w:left="360"/>
        <w:jc w:val="both"/>
        <w:rPr>
          <w:rFonts w:ascii="Times New Roman" w:hAnsi="Times New Roman" w:cs="Times New Roman"/>
          <w:sz w:val="24"/>
          <w:szCs w:val="24"/>
        </w:rPr>
      </w:pPr>
      <w:r w:rsidRPr="0041773A">
        <w:rPr>
          <w:rFonts w:ascii="Times New Roman" w:hAnsi="Times New Roman" w:cs="Times New Roman"/>
          <w:sz w:val="24"/>
          <w:szCs w:val="24"/>
        </w:rPr>
        <w:t>REGULATION (EC) No 726/2004 OF THE EUROPEAN PARLIAMENT AND OF THE COUNCIL of 31 March 2004 laying down Community procedures for the authorisation and supervision of medicinal products for human and veterinary use and establishing a European Medicines Agency</w:t>
      </w:r>
    </w:p>
    <w:p w14:paraId="291E94A6" w14:textId="77777777" w:rsidR="0036619A" w:rsidRPr="0041773A" w:rsidRDefault="0036619A" w:rsidP="00E0345A">
      <w:pPr>
        <w:pStyle w:val="ListParagraph"/>
        <w:numPr>
          <w:ilvl w:val="0"/>
          <w:numId w:val="5"/>
        </w:numPr>
        <w:spacing w:after="0" w:line="240" w:lineRule="auto"/>
        <w:ind w:left="360"/>
        <w:jc w:val="both"/>
        <w:rPr>
          <w:rFonts w:ascii="Times New Roman" w:hAnsi="Times New Roman" w:cs="Times New Roman"/>
          <w:sz w:val="24"/>
          <w:szCs w:val="24"/>
        </w:rPr>
      </w:pPr>
      <w:r w:rsidRPr="0041773A">
        <w:rPr>
          <w:rFonts w:ascii="Times New Roman" w:hAnsi="Times New Roman" w:cs="Times New Roman"/>
          <w:sz w:val="24"/>
          <w:szCs w:val="24"/>
        </w:rPr>
        <w:t>REGULATION (EU) No 1235/2010 OF THE EUROPEAN PARLIAMENT AND OF THE COUNCIL of 15 December 2010 amending, as regards pharmacovigilance of medicinal products for human use, Regulation (EC) No 726/2004 laying down Community procedures for the authorisation and supervision of medicinal products for human and veterinary use and establishing a European Medicines Agency, and Regulation (EC) No 1394/2007 on advanced therapy medicinal products</w:t>
      </w:r>
    </w:p>
    <w:p w14:paraId="15395C47" w14:textId="77777777" w:rsidR="0036619A" w:rsidRDefault="0036619A" w:rsidP="00E0345A">
      <w:pPr>
        <w:pStyle w:val="ListParagraph"/>
        <w:numPr>
          <w:ilvl w:val="0"/>
          <w:numId w:val="5"/>
        </w:numPr>
        <w:spacing w:after="0" w:line="240" w:lineRule="auto"/>
        <w:ind w:left="360"/>
        <w:jc w:val="both"/>
        <w:rPr>
          <w:rFonts w:ascii="Times New Roman" w:hAnsi="Times New Roman" w:cs="Times New Roman"/>
          <w:sz w:val="24"/>
          <w:szCs w:val="24"/>
        </w:rPr>
      </w:pPr>
      <w:r w:rsidRPr="0041773A">
        <w:rPr>
          <w:rFonts w:ascii="Times New Roman" w:hAnsi="Times New Roman" w:cs="Times New Roman"/>
          <w:sz w:val="24"/>
          <w:szCs w:val="24"/>
        </w:rPr>
        <w:t>REGULATION (EU) No 1027/2012 OF THE EUROPEAN PARLIAMENT AND OF THE COUNCIL of 25 October 2012 amending Regulation (EC) No 726/2004 as regards pharmacovigilance</w:t>
      </w:r>
    </w:p>
    <w:p w14:paraId="7826D759" w14:textId="4670B148" w:rsidR="00B15027" w:rsidRPr="00B15027" w:rsidRDefault="00B15027" w:rsidP="00E0345A">
      <w:pPr>
        <w:pStyle w:val="ListParagraph"/>
        <w:numPr>
          <w:ilvl w:val="0"/>
          <w:numId w:val="5"/>
        </w:numPr>
        <w:spacing w:after="0" w:line="240" w:lineRule="auto"/>
        <w:ind w:left="360"/>
        <w:jc w:val="both"/>
        <w:rPr>
          <w:rFonts w:ascii="Times New Roman" w:hAnsi="Times New Roman" w:cs="Times New Roman"/>
          <w:sz w:val="24"/>
          <w:szCs w:val="24"/>
        </w:rPr>
      </w:pPr>
      <w:r w:rsidRPr="00B15027">
        <w:rPr>
          <w:rFonts w:ascii="Times New Roman" w:hAnsi="Times New Roman" w:cs="Times New Roman"/>
          <w:sz w:val="24"/>
          <w:szCs w:val="24"/>
        </w:rPr>
        <w:t>REGULATION (EU) 2017/745 OF THE EUROPEAN PARLIAMENT AND OF THE COUNCIL of 5 April 2017 on medical devices, amending Directive 2001/83/EC, Regulation (EC) No 178/2002 and Regulation (EC) No 1223/2009 and repealing Council Directives 90/385/EEC and 93/42/EEC (“MDR”)</w:t>
      </w:r>
      <w:r w:rsidR="00327381">
        <w:rPr>
          <w:rStyle w:val="FootnoteReference"/>
          <w:rFonts w:ascii="Times New Roman" w:hAnsi="Times New Roman" w:cs="Times New Roman"/>
          <w:sz w:val="24"/>
          <w:szCs w:val="24"/>
        </w:rPr>
        <w:footnoteReference w:id="1"/>
      </w:r>
      <w:r w:rsidRPr="00B15027">
        <w:rPr>
          <w:rFonts w:ascii="Times New Roman" w:hAnsi="Times New Roman" w:cs="Times New Roman"/>
          <w:sz w:val="24"/>
          <w:szCs w:val="24"/>
        </w:rPr>
        <w:t xml:space="preserve"> </w:t>
      </w:r>
    </w:p>
    <w:p w14:paraId="77D21CEC" w14:textId="77777777" w:rsidR="00327381" w:rsidRPr="00DA15D8" w:rsidRDefault="00327381" w:rsidP="00E0345A">
      <w:pPr>
        <w:pStyle w:val="ListParagraph"/>
        <w:numPr>
          <w:ilvl w:val="0"/>
          <w:numId w:val="5"/>
        </w:numPr>
        <w:spacing w:after="0" w:line="240" w:lineRule="auto"/>
        <w:ind w:left="360"/>
        <w:jc w:val="both"/>
        <w:rPr>
          <w:rFonts w:ascii="Times New Roman" w:hAnsi="Times New Roman" w:cs="Times New Roman"/>
          <w:sz w:val="24"/>
          <w:szCs w:val="24"/>
        </w:rPr>
      </w:pPr>
      <w:r w:rsidRPr="00DA15D8">
        <w:rPr>
          <w:rFonts w:ascii="Times New Roman" w:hAnsi="Times New Roman" w:cs="Times New Roman"/>
          <w:sz w:val="24"/>
          <w:szCs w:val="24"/>
        </w:rPr>
        <w:t>REGULATION (EU) 2017/746 OF THE EUROPEAN PARLIAMENT AND OF THE COUNCIL of 5 April 2017 on in vitro diagnostic medical devices and repealing Directive 98/79/EC and Commission Decision 2010/227/EU (IVDR)</w:t>
      </w:r>
      <w:r>
        <w:rPr>
          <w:rStyle w:val="FootnoteReference"/>
          <w:rFonts w:ascii="Times New Roman" w:hAnsi="Times New Roman" w:cs="Times New Roman"/>
          <w:sz w:val="24"/>
          <w:szCs w:val="24"/>
        </w:rPr>
        <w:footnoteReference w:id="2"/>
      </w:r>
      <w:r w:rsidRPr="00DA15D8">
        <w:rPr>
          <w:rFonts w:ascii="Times New Roman" w:hAnsi="Times New Roman" w:cs="Times New Roman"/>
          <w:sz w:val="24"/>
          <w:szCs w:val="24"/>
        </w:rPr>
        <w:t xml:space="preserve"> </w:t>
      </w:r>
    </w:p>
    <w:p w14:paraId="5495DD91" w14:textId="77777777" w:rsidR="0036619A" w:rsidRPr="0041773A" w:rsidRDefault="0036619A" w:rsidP="00E0345A">
      <w:pPr>
        <w:spacing w:after="0" w:line="240" w:lineRule="auto"/>
        <w:rPr>
          <w:rFonts w:ascii="Times New Roman" w:hAnsi="Times New Roman" w:cs="Times New Roman"/>
          <w:b/>
          <w:i/>
          <w:sz w:val="24"/>
          <w:szCs w:val="24"/>
          <w:highlight w:val="yellow"/>
        </w:rPr>
      </w:pPr>
    </w:p>
    <w:p w14:paraId="1461F259" w14:textId="5185A538" w:rsidR="00E0345A" w:rsidRDefault="00E0345A">
      <w:pPr>
        <w:rPr>
          <w:rFonts w:ascii="Times New Roman" w:hAnsi="Times New Roman" w:cs="Times New Roman"/>
          <w:b/>
          <w:i/>
          <w:sz w:val="24"/>
          <w:szCs w:val="24"/>
          <w:highlight w:val="yellow"/>
        </w:rPr>
      </w:pPr>
      <w:r>
        <w:rPr>
          <w:rFonts w:ascii="Times New Roman" w:hAnsi="Times New Roman" w:cs="Times New Roman"/>
          <w:b/>
          <w:i/>
          <w:sz w:val="24"/>
          <w:szCs w:val="24"/>
          <w:highlight w:val="yellow"/>
        </w:rPr>
        <w:br w:type="page"/>
      </w:r>
    </w:p>
    <w:p w14:paraId="0C9AFEAD" w14:textId="77777777" w:rsidR="0052730B" w:rsidRPr="0041773A" w:rsidRDefault="0052730B" w:rsidP="0052730B">
      <w:pPr>
        <w:spacing w:after="0" w:line="240" w:lineRule="auto"/>
        <w:rPr>
          <w:rFonts w:ascii="Times New Roman" w:hAnsi="Times New Roman" w:cs="Times New Roman"/>
          <w:b/>
          <w:i/>
          <w:sz w:val="24"/>
          <w:szCs w:val="24"/>
        </w:rPr>
      </w:pPr>
      <w:r w:rsidRPr="0041773A">
        <w:rPr>
          <w:rFonts w:ascii="Times New Roman" w:hAnsi="Times New Roman" w:cs="Times New Roman"/>
          <w:b/>
          <w:i/>
          <w:sz w:val="24"/>
          <w:szCs w:val="24"/>
        </w:rPr>
        <w:lastRenderedPageBreak/>
        <w:t xml:space="preserve">National Legislation </w:t>
      </w:r>
    </w:p>
    <w:p w14:paraId="3128EB1F" w14:textId="77777777" w:rsidR="0052730B" w:rsidRPr="0041773A" w:rsidRDefault="0052730B" w:rsidP="00E0345A">
      <w:pPr>
        <w:pStyle w:val="ListParagraph"/>
        <w:numPr>
          <w:ilvl w:val="0"/>
          <w:numId w:val="2"/>
        </w:numPr>
        <w:spacing w:after="0" w:line="240" w:lineRule="auto"/>
        <w:jc w:val="both"/>
        <w:rPr>
          <w:rFonts w:ascii="Times New Roman" w:hAnsi="Times New Roman" w:cs="Times New Roman"/>
          <w:sz w:val="24"/>
          <w:szCs w:val="24"/>
        </w:rPr>
      </w:pPr>
      <w:r w:rsidRPr="0041773A">
        <w:rPr>
          <w:rFonts w:ascii="Times New Roman" w:hAnsi="Times New Roman" w:cs="Times New Roman"/>
          <w:sz w:val="24"/>
          <w:szCs w:val="24"/>
        </w:rPr>
        <w:t>Law on medicines (Official Gazette of Montenegro, No. 56/2011)</w:t>
      </w:r>
    </w:p>
    <w:p w14:paraId="09D0C78D" w14:textId="77777777" w:rsidR="0052730B" w:rsidRPr="0041773A" w:rsidRDefault="0052730B" w:rsidP="00E0345A">
      <w:pPr>
        <w:pStyle w:val="ListParagraph"/>
        <w:numPr>
          <w:ilvl w:val="0"/>
          <w:numId w:val="2"/>
        </w:numPr>
        <w:spacing w:after="0" w:line="240" w:lineRule="auto"/>
        <w:jc w:val="both"/>
        <w:rPr>
          <w:rFonts w:ascii="Times New Roman" w:hAnsi="Times New Roman" w:cs="Times New Roman"/>
          <w:sz w:val="24"/>
          <w:szCs w:val="24"/>
        </w:rPr>
      </w:pPr>
      <w:r w:rsidRPr="0041773A">
        <w:rPr>
          <w:rFonts w:ascii="Times New Roman" w:hAnsi="Times New Roman" w:cs="Times New Roman"/>
          <w:sz w:val="24"/>
          <w:szCs w:val="24"/>
        </w:rPr>
        <w:t>Law on medical devices</w:t>
      </w:r>
      <w:r w:rsidR="00AB4490" w:rsidRPr="0041773A">
        <w:rPr>
          <w:rFonts w:ascii="Times New Roman" w:hAnsi="Times New Roman" w:cs="Times New Roman"/>
          <w:sz w:val="24"/>
          <w:szCs w:val="24"/>
        </w:rPr>
        <w:t xml:space="preserve"> </w:t>
      </w:r>
      <w:r w:rsidRPr="0041773A">
        <w:rPr>
          <w:rFonts w:ascii="Times New Roman" w:hAnsi="Times New Roman" w:cs="Times New Roman"/>
          <w:sz w:val="24"/>
          <w:szCs w:val="24"/>
        </w:rPr>
        <w:t>(Official Gazette of Montenegro No. 79/2004)</w:t>
      </w:r>
    </w:p>
    <w:p w14:paraId="2984240C" w14:textId="77777777" w:rsidR="0052730B" w:rsidRPr="0041773A" w:rsidRDefault="0052730B" w:rsidP="00E0345A">
      <w:pPr>
        <w:pStyle w:val="ListParagraph"/>
        <w:numPr>
          <w:ilvl w:val="0"/>
          <w:numId w:val="2"/>
        </w:numPr>
        <w:spacing w:after="0" w:line="240" w:lineRule="auto"/>
        <w:jc w:val="both"/>
        <w:rPr>
          <w:rFonts w:ascii="Times New Roman" w:hAnsi="Times New Roman" w:cs="Times New Roman"/>
          <w:sz w:val="24"/>
          <w:szCs w:val="24"/>
        </w:rPr>
      </w:pPr>
      <w:r w:rsidRPr="0041773A">
        <w:rPr>
          <w:rFonts w:ascii="Times New Roman" w:hAnsi="Times New Roman" w:cs="Times New Roman"/>
          <w:sz w:val="24"/>
          <w:szCs w:val="24"/>
        </w:rPr>
        <w:t>Law on amendments to the Law on Medical Devices (Official Gazette of Montenegro No. 53/2009)</w:t>
      </w:r>
    </w:p>
    <w:p w14:paraId="4D67A033" w14:textId="77777777" w:rsidR="00AB4490" w:rsidRPr="0041773A" w:rsidRDefault="00AB4490" w:rsidP="00E0345A">
      <w:pPr>
        <w:pStyle w:val="ListParagraph"/>
        <w:numPr>
          <w:ilvl w:val="0"/>
          <w:numId w:val="2"/>
        </w:numPr>
        <w:spacing w:after="0" w:line="240" w:lineRule="auto"/>
        <w:jc w:val="both"/>
        <w:rPr>
          <w:rFonts w:ascii="Times New Roman" w:hAnsi="Times New Roman" w:cs="Times New Roman"/>
          <w:sz w:val="24"/>
          <w:szCs w:val="24"/>
        </w:rPr>
      </w:pPr>
      <w:r w:rsidRPr="0041773A">
        <w:rPr>
          <w:rFonts w:ascii="Times New Roman" w:hAnsi="Times New Roman" w:cs="Times New Roman"/>
          <w:sz w:val="24"/>
          <w:szCs w:val="24"/>
        </w:rPr>
        <w:t>Law on medical devices (Official Gazette of Montenegro, No. 024/19)</w:t>
      </w:r>
    </w:p>
    <w:p w14:paraId="1B799514" w14:textId="77777777" w:rsidR="0052730B" w:rsidRPr="0041773A" w:rsidRDefault="0052730B" w:rsidP="00E0345A">
      <w:pPr>
        <w:pStyle w:val="ListParagraph"/>
        <w:numPr>
          <w:ilvl w:val="0"/>
          <w:numId w:val="2"/>
        </w:numPr>
        <w:spacing w:after="0" w:line="240" w:lineRule="auto"/>
        <w:jc w:val="both"/>
        <w:rPr>
          <w:rFonts w:ascii="Times New Roman" w:hAnsi="Times New Roman" w:cs="Times New Roman"/>
          <w:sz w:val="24"/>
          <w:szCs w:val="24"/>
        </w:rPr>
      </w:pPr>
      <w:r w:rsidRPr="0041773A">
        <w:rPr>
          <w:rFonts w:ascii="Times New Roman" w:hAnsi="Times New Roman" w:cs="Times New Roman"/>
          <w:sz w:val="24"/>
          <w:szCs w:val="24"/>
        </w:rPr>
        <w:t>Law about preventing drugs abuse</w:t>
      </w:r>
      <w:r w:rsidR="00AB4490" w:rsidRPr="0041773A">
        <w:rPr>
          <w:rFonts w:ascii="Times New Roman" w:hAnsi="Times New Roman" w:cs="Times New Roman"/>
          <w:sz w:val="24"/>
          <w:szCs w:val="24"/>
        </w:rPr>
        <w:t xml:space="preserve"> </w:t>
      </w:r>
      <w:r w:rsidRPr="0041773A">
        <w:rPr>
          <w:rFonts w:ascii="Times New Roman" w:hAnsi="Times New Roman" w:cs="Times New Roman"/>
          <w:sz w:val="24"/>
          <w:szCs w:val="24"/>
        </w:rPr>
        <w:t>(Official Gazette of Montenegro No. 28/2011)</w:t>
      </w:r>
    </w:p>
    <w:p w14:paraId="2258DDDC" w14:textId="77777777" w:rsidR="0052730B" w:rsidRPr="0041773A" w:rsidRDefault="0052730B" w:rsidP="00E0345A">
      <w:pPr>
        <w:pStyle w:val="ListParagraph"/>
        <w:numPr>
          <w:ilvl w:val="0"/>
          <w:numId w:val="2"/>
        </w:numPr>
        <w:spacing w:after="0" w:line="240" w:lineRule="auto"/>
        <w:jc w:val="both"/>
        <w:rPr>
          <w:rFonts w:ascii="Times New Roman" w:hAnsi="Times New Roman" w:cs="Times New Roman"/>
          <w:sz w:val="24"/>
          <w:szCs w:val="24"/>
        </w:rPr>
      </w:pPr>
      <w:r w:rsidRPr="0041773A">
        <w:rPr>
          <w:rFonts w:ascii="Times New Roman" w:hAnsi="Times New Roman" w:cs="Times New Roman"/>
          <w:sz w:val="24"/>
          <w:szCs w:val="24"/>
        </w:rPr>
        <w:t>Law on control of manufacture and trade of substances that can be used in the manufacture of narcotic drugs and psychotropic substances (Official gazette of Montenegro no. 83/09).</w:t>
      </w:r>
    </w:p>
    <w:p w14:paraId="4644003C" w14:textId="77777777" w:rsidR="0052730B" w:rsidRPr="0041773A" w:rsidRDefault="0052730B" w:rsidP="00E0345A">
      <w:pPr>
        <w:spacing w:after="0" w:line="240" w:lineRule="auto"/>
        <w:jc w:val="both"/>
        <w:rPr>
          <w:rFonts w:ascii="Times New Roman" w:hAnsi="Times New Roman" w:cs="Times New Roman"/>
          <w:sz w:val="24"/>
          <w:szCs w:val="24"/>
        </w:rPr>
      </w:pPr>
    </w:p>
    <w:p w14:paraId="39C9EA4B" w14:textId="77777777" w:rsidR="0052730B" w:rsidRPr="0041773A" w:rsidRDefault="0052730B" w:rsidP="0052730B">
      <w:pPr>
        <w:spacing w:after="0" w:line="240" w:lineRule="auto"/>
        <w:rPr>
          <w:rFonts w:ascii="Times New Roman" w:hAnsi="Times New Roman" w:cs="Times New Roman"/>
          <w:b/>
          <w:sz w:val="24"/>
          <w:szCs w:val="24"/>
        </w:rPr>
      </w:pPr>
      <w:r w:rsidRPr="0041773A">
        <w:rPr>
          <w:rFonts w:ascii="Times New Roman" w:hAnsi="Times New Roman" w:cs="Times New Roman"/>
          <w:b/>
          <w:sz w:val="24"/>
          <w:szCs w:val="24"/>
        </w:rPr>
        <w:t>Rulebooks</w:t>
      </w:r>
    </w:p>
    <w:p w14:paraId="122E19B0" w14:textId="77777777" w:rsidR="0052730B" w:rsidRPr="0041773A" w:rsidRDefault="0052730B" w:rsidP="00E0345A">
      <w:pPr>
        <w:pStyle w:val="ListParagraph"/>
        <w:numPr>
          <w:ilvl w:val="0"/>
          <w:numId w:val="2"/>
        </w:numPr>
        <w:spacing w:after="0" w:line="240" w:lineRule="auto"/>
        <w:jc w:val="both"/>
        <w:rPr>
          <w:rFonts w:ascii="Times New Roman" w:hAnsi="Times New Roman" w:cs="Times New Roman"/>
          <w:sz w:val="24"/>
          <w:szCs w:val="24"/>
        </w:rPr>
      </w:pPr>
      <w:r w:rsidRPr="0041773A">
        <w:rPr>
          <w:rFonts w:ascii="Times New Roman" w:hAnsi="Times New Roman" w:cs="Times New Roman"/>
          <w:sz w:val="24"/>
          <w:szCs w:val="24"/>
        </w:rPr>
        <w:t>Rulebook on more detailed conditions for issuance of marketing authorisation for a medicine (Official Gazette of Montenegro No 30/2009)</w:t>
      </w:r>
    </w:p>
    <w:p w14:paraId="0D9C31A2" w14:textId="77777777" w:rsidR="0052730B" w:rsidRPr="0041773A" w:rsidRDefault="0052730B" w:rsidP="00E0345A">
      <w:pPr>
        <w:pStyle w:val="ListParagraph"/>
        <w:numPr>
          <w:ilvl w:val="0"/>
          <w:numId w:val="2"/>
        </w:numPr>
        <w:spacing w:after="0" w:line="240" w:lineRule="auto"/>
        <w:jc w:val="both"/>
        <w:rPr>
          <w:rFonts w:ascii="Times New Roman" w:hAnsi="Times New Roman" w:cs="Times New Roman"/>
          <w:sz w:val="24"/>
          <w:szCs w:val="24"/>
        </w:rPr>
      </w:pPr>
      <w:r w:rsidRPr="0041773A">
        <w:rPr>
          <w:rFonts w:ascii="Times New Roman" w:hAnsi="Times New Roman" w:cs="Times New Roman"/>
          <w:sz w:val="24"/>
          <w:szCs w:val="24"/>
        </w:rPr>
        <w:t>Rulebook on detailed content of pharmaceutical testing of medicines (Official Gazette of Montenegro No 38/09)</w:t>
      </w:r>
    </w:p>
    <w:p w14:paraId="3C28CC46" w14:textId="77777777" w:rsidR="0052730B" w:rsidRPr="0041773A" w:rsidRDefault="0052730B" w:rsidP="00E0345A">
      <w:pPr>
        <w:pStyle w:val="ListParagraph"/>
        <w:numPr>
          <w:ilvl w:val="0"/>
          <w:numId w:val="2"/>
        </w:numPr>
        <w:spacing w:after="0" w:line="240" w:lineRule="auto"/>
        <w:jc w:val="both"/>
        <w:rPr>
          <w:rFonts w:ascii="Times New Roman" w:hAnsi="Times New Roman" w:cs="Times New Roman"/>
          <w:sz w:val="24"/>
          <w:szCs w:val="24"/>
        </w:rPr>
      </w:pPr>
      <w:r w:rsidRPr="0041773A">
        <w:rPr>
          <w:rFonts w:ascii="Times New Roman" w:hAnsi="Times New Roman" w:cs="Times New Roman"/>
          <w:sz w:val="24"/>
          <w:szCs w:val="24"/>
        </w:rPr>
        <w:t>Rulebook on content and manner of conducting pharmaceutical testing of medicines with the Aim of Quality Control (Official Gazette of Montenegro No 4/10)</w:t>
      </w:r>
    </w:p>
    <w:p w14:paraId="04316AA8" w14:textId="77777777" w:rsidR="0052730B" w:rsidRPr="0041773A" w:rsidRDefault="0052730B" w:rsidP="00E0345A">
      <w:pPr>
        <w:pStyle w:val="ListParagraph"/>
        <w:numPr>
          <w:ilvl w:val="0"/>
          <w:numId w:val="2"/>
        </w:numPr>
        <w:spacing w:after="0" w:line="240" w:lineRule="auto"/>
        <w:jc w:val="both"/>
        <w:rPr>
          <w:rFonts w:ascii="Times New Roman" w:hAnsi="Times New Roman" w:cs="Times New Roman"/>
          <w:sz w:val="24"/>
          <w:szCs w:val="24"/>
        </w:rPr>
      </w:pPr>
      <w:r w:rsidRPr="0041773A">
        <w:rPr>
          <w:rFonts w:ascii="Times New Roman" w:hAnsi="Times New Roman" w:cs="Times New Roman"/>
          <w:sz w:val="24"/>
          <w:szCs w:val="24"/>
        </w:rPr>
        <w:t>Rulebook on detailed content of pharmacological-toxicological study of medicines (Official Gazette of Montenegro No 68/09)</w:t>
      </w:r>
    </w:p>
    <w:p w14:paraId="76D55E9C" w14:textId="77777777" w:rsidR="0052730B" w:rsidRPr="0041773A" w:rsidRDefault="0052730B" w:rsidP="00E0345A">
      <w:pPr>
        <w:pStyle w:val="ListParagraph"/>
        <w:numPr>
          <w:ilvl w:val="0"/>
          <w:numId w:val="2"/>
        </w:numPr>
        <w:spacing w:after="0" w:line="240" w:lineRule="auto"/>
        <w:jc w:val="both"/>
        <w:rPr>
          <w:rFonts w:ascii="Times New Roman" w:hAnsi="Times New Roman" w:cs="Times New Roman"/>
          <w:sz w:val="24"/>
          <w:szCs w:val="24"/>
        </w:rPr>
      </w:pPr>
      <w:r w:rsidRPr="0041773A">
        <w:rPr>
          <w:rFonts w:ascii="Times New Roman" w:hAnsi="Times New Roman" w:cs="Times New Roman"/>
          <w:sz w:val="24"/>
          <w:szCs w:val="24"/>
        </w:rPr>
        <w:t>Rulebook on the form, content, manner and period of reporting on sale of medicines (Official Gazette of Montenegro No 2/13)</w:t>
      </w:r>
    </w:p>
    <w:p w14:paraId="729B6D9F" w14:textId="77777777" w:rsidR="0052730B" w:rsidRPr="0041773A" w:rsidRDefault="0052730B" w:rsidP="00E0345A">
      <w:pPr>
        <w:pStyle w:val="ListParagraph"/>
        <w:numPr>
          <w:ilvl w:val="0"/>
          <w:numId w:val="2"/>
        </w:numPr>
        <w:spacing w:after="0" w:line="240" w:lineRule="auto"/>
        <w:jc w:val="both"/>
        <w:rPr>
          <w:rFonts w:ascii="Times New Roman" w:hAnsi="Times New Roman" w:cs="Times New Roman"/>
          <w:sz w:val="24"/>
          <w:szCs w:val="24"/>
        </w:rPr>
      </w:pPr>
      <w:r w:rsidRPr="0041773A">
        <w:rPr>
          <w:rFonts w:ascii="Times New Roman" w:hAnsi="Times New Roman" w:cs="Times New Roman"/>
          <w:sz w:val="24"/>
          <w:szCs w:val="24"/>
        </w:rPr>
        <w:t>Rulebook on more detailed conditions and documentation required for approval and conduct of clinical trials of medicines for human use (Official Gazette of Montenegro No. 2/14)</w:t>
      </w:r>
    </w:p>
    <w:p w14:paraId="4FC95CC7" w14:textId="77777777" w:rsidR="0052730B" w:rsidRPr="0041773A" w:rsidRDefault="0052730B" w:rsidP="00E0345A">
      <w:pPr>
        <w:pStyle w:val="ListParagraph"/>
        <w:numPr>
          <w:ilvl w:val="0"/>
          <w:numId w:val="2"/>
        </w:numPr>
        <w:spacing w:after="0" w:line="240" w:lineRule="auto"/>
        <w:jc w:val="both"/>
        <w:rPr>
          <w:rFonts w:ascii="Times New Roman" w:hAnsi="Times New Roman" w:cs="Times New Roman"/>
          <w:sz w:val="24"/>
          <w:szCs w:val="24"/>
        </w:rPr>
      </w:pPr>
      <w:r w:rsidRPr="0041773A">
        <w:rPr>
          <w:rFonts w:ascii="Times New Roman" w:hAnsi="Times New Roman" w:cs="Times New Roman"/>
          <w:sz w:val="24"/>
          <w:szCs w:val="24"/>
        </w:rPr>
        <w:t>Rulebook on manner and conditions of advertising of medicines (Official Gazette of Montenegro No. 2/14)</w:t>
      </w:r>
    </w:p>
    <w:p w14:paraId="7AF92D69" w14:textId="77777777" w:rsidR="0052730B" w:rsidRPr="0041773A" w:rsidRDefault="0052730B" w:rsidP="00E0345A">
      <w:pPr>
        <w:pStyle w:val="ListParagraph"/>
        <w:numPr>
          <w:ilvl w:val="0"/>
          <w:numId w:val="2"/>
        </w:numPr>
        <w:spacing w:after="0" w:line="240" w:lineRule="auto"/>
        <w:jc w:val="both"/>
        <w:rPr>
          <w:rFonts w:ascii="Times New Roman" w:hAnsi="Times New Roman" w:cs="Times New Roman"/>
          <w:sz w:val="24"/>
          <w:szCs w:val="24"/>
        </w:rPr>
      </w:pPr>
      <w:r w:rsidRPr="0041773A">
        <w:rPr>
          <w:rFonts w:ascii="Times New Roman" w:hAnsi="Times New Roman" w:cs="Times New Roman"/>
          <w:sz w:val="24"/>
          <w:szCs w:val="24"/>
        </w:rPr>
        <w:t>Rulebook on the manner of collecting of data and reporting and monitoring adverse reactions to medicines for use in human medicine (Official Gazette of Montenegro No 46/14)</w:t>
      </w:r>
    </w:p>
    <w:p w14:paraId="444FFD4C" w14:textId="77777777" w:rsidR="0052730B" w:rsidRPr="0041773A" w:rsidRDefault="0052730B" w:rsidP="00E0345A">
      <w:pPr>
        <w:pStyle w:val="ListParagraph"/>
        <w:numPr>
          <w:ilvl w:val="0"/>
          <w:numId w:val="2"/>
        </w:numPr>
        <w:spacing w:after="0" w:line="240" w:lineRule="auto"/>
        <w:jc w:val="both"/>
        <w:rPr>
          <w:rFonts w:ascii="Times New Roman" w:hAnsi="Times New Roman" w:cs="Times New Roman"/>
          <w:sz w:val="24"/>
          <w:szCs w:val="24"/>
        </w:rPr>
      </w:pPr>
      <w:r w:rsidRPr="0041773A">
        <w:rPr>
          <w:rFonts w:ascii="Times New Roman" w:hAnsi="Times New Roman" w:cs="Times New Roman"/>
          <w:sz w:val="24"/>
          <w:szCs w:val="24"/>
        </w:rPr>
        <w:t>Rulebook on more detailed conditions and manner of entering a medicine into the Register of Traditional Herbal Medicines (Official Gazette of Montenegro No 04/15)</w:t>
      </w:r>
    </w:p>
    <w:p w14:paraId="4BB512AB" w14:textId="77777777" w:rsidR="0052730B" w:rsidRPr="0041773A" w:rsidRDefault="0052730B" w:rsidP="00E0345A">
      <w:pPr>
        <w:pStyle w:val="ListParagraph"/>
        <w:numPr>
          <w:ilvl w:val="0"/>
          <w:numId w:val="2"/>
        </w:numPr>
        <w:spacing w:after="0" w:line="240" w:lineRule="auto"/>
        <w:jc w:val="both"/>
        <w:rPr>
          <w:rFonts w:ascii="Times New Roman" w:hAnsi="Times New Roman" w:cs="Times New Roman"/>
          <w:sz w:val="24"/>
          <w:szCs w:val="24"/>
        </w:rPr>
      </w:pPr>
      <w:r w:rsidRPr="0041773A">
        <w:rPr>
          <w:rFonts w:ascii="Times New Roman" w:hAnsi="Times New Roman" w:cs="Times New Roman"/>
          <w:sz w:val="24"/>
          <w:szCs w:val="24"/>
        </w:rPr>
        <w:t>Rulebook on more detailed conditions and manner of entering a medicine into the Register of Homeopathic Medicines (Official Gazette of Montenegro” No 06/15)</w:t>
      </w:r>
    </w:p>
    <w:p w14:paraId="7C99FD96" w14:textId="77777777" w:rsidR="0052730B" w:rsidRPr="0041773A" w:rsidRDefault="0052730B" w:rsidP="00E0345A">
      <w:pPr>
        <w:pStyle w:val="ListParagraph"/>
        <w:numPr>
          <w:ilvl w:val="0"/>
          <w:numId w:val="2"/>
        </w:numPr>
        <w:spacing w:after="0" w:line="240" w:lineRule="auto"/>
        <w:jc w:val="both"/>
        <w:rPr>
          <w:rFonts w:ascii="Times New Roman" w:hAnsi="Times New Roman" w:cs="Times New Roman"/>
          <w:sz w:val="24"/>
          <w:szCs w:val="24"/>
        </w:rPr>
      </w:pPr>
      <w:r w:rsidRPr="0041773A">
        <w:rPr>
          <w:rFonts w:ascii="Times New Roman" w:hAnsi="Times New Roman" w:cs="Times New Roman"/>
          <w:sz w:val="24"/>
          <w:szCs w:val="24"/>
        </w:rPr>
        <w:t>Rulebook on more detailed conditions and manner of determining fulfilment of conditions for perf</w:t>
      </w:r>
      <w:r w:rsidR="000079B9">
        <w:rPr>
          <w:rFonts w:ascii="Times New Roman" w:hAnsi="Times New Roman" w:cs="Times New Roman"/>
          <w:sz w:val="24"/>
          <w:szCs w:val="24"/>
        </w:rPr>
        <w:t>orming wholesale of medicines (Official Gazette of Montenegro</w:t>
      </w:r>
      <w:r w:rsidRPr="0041773A">
        <w:rPr>
          <w:rFonts w:ascii="Times New Roman" w:hAnsi="Times New Roman" w:cs="Times New Roman"/>
          <w:sz w:val="24"/>
          <w:szCs w:val="24"/>
        </w:rPr>
        <w:t xml:space="preserve"> No 72/15).</w:t>
      </w:r>
    </w:p>
    <w:p w14:paraId="3AA27108" w14:textId="77777777" w:rsidR="00F127F3" w:rsidRPr="0041773A" w:rsidRDefault="00F127F3" w:rsidP="00E0345A">
      <w:pPr>
        <w:pStyle w:val="ListParagraph"/>
        <w:numPr>
          <w:ilvl w:val="0"/>
          <w:numId w:val="2"/>
        </w:numPr>
        <w:spacing w:after="0" w:line="240" w:lineRule="auto"/>
        <w:jc w:val="both"/>
        <w:rPr>
          <w:rFonts w:ascii="Times New Roman" w:hAnsi="Times New Roman" w:cs="Times New Roman"/>
          <w:sz w:val="24"/>
          <w:szCs w:val="24"/>
        </w:rPr>
      </w:pPr>
      <w:r w:rsidRPr="0041773A">
        <w:rPr>
          <w:rFonts w:ascii="Times New Roman" w:hAnsi="Times New Roman" w:cs="Times New Roman"/>
          <w:sz w:val="24"/>
          <w:szCs w:val="24"/>
        </w:rPr>
        <w:t>Rulebook on more detailed conditions and manner of determining fulfilment of conditions for perfo</w:t>
      </w:r>
      <w:r w:rsidR="00F33DD6" w:rsidRPr="0041773A">
        <w:rPr>
          <w:rFonts w:ascii="Times New Roman" w:hAnsi="Times New Roman" w:cs="Times New Roman"/>
          <w:sz w:val="24"/>
          <w:szCs w:val="24"/>
        </w:rPr>
        <w:t>r</w:t>
      </w:r>
      <w:r w:rsidRPr="0041773A">
        <w:rPr>
          <w:rFonts w:ascii="Times New Roman" w:hAnsi="Times New Roman" w:cs="Times New Roman"/>
          <w:sz w:val="24"/>
          <w:szCs w:val="24"/>
        </w:rPr>
        <w:t>ming manufacturing of medicines (</w:t>
      </w:r>
      <w:r w:rsidR="000079B9">
        <w:rPr>
          <w:rFonts w:ascii="Times New Roman" w:hAnsi="Times New Roman" w:cs="Times New Roman"/>
          <w:sz w:val="24"/>
          <w:szCs w:val="24"/>
        </w:rPr>
        <w:t>Official Gazette of Montenegro</w:t>
      </w:r>
      <w:r w:rsidRPr="0041773A">
        <w:rPr>
          <w:rFonts w:ascii="Times New Roman" w:hAnsi="Times New Roman" w:cs="Times New Roman"/>
          <w:sz w:val="24"/>
          <w:szCs w:val="24"/>
        </w:rPr>
        <w:t xml:space="preserve"> No 72/15) </w:t>
      </w:r>
    </w:p>
    <w:p w14:paraId="04D71E65" w14:textId="77777777" w:rsidR="00794089" w:rsidRPr="0041773A" w:rsidRDefault="00F127F3" w:rsidP="00E0345A">
      <w:pPr>
        <w:pStyle w:val="ListParagraph"/>
        <w:numPr>
          <w:ilvl w:val="0"/>
          <w:numId w:val="2"/>
        </w:numPr>
        <w:spacing w:after="0" w:line="240" w:lineRule="auto"/>
        <w:jc w:val="both"/>
        <w:rPr>
          <w:rFonts w:ascii="Times New Roman" w:hAnsi="Times New Roman" w:cs="Times New Roman"/>
          <w:sz w:val="24"/>
          <w:szCs w:val="24"/>
        </w:rPr>
      </w:pPr>
      <w:r w:rsidRPr="0041773A">
        <w:rPr>
          <w:rFonts w:ascii="Times New Roman" w:hAnsi="Times New Roman" w:cs="Times New Roman"/>
          <w:sz w:val="24"/>
          <w:szCs w:val="24"/>
        </w:rPr>
        <w:t>Rulebook on more detailed conditions for issuance of marketing</w:t>
      </w:r>
      <w:r w:rsidR="000079B9">
        <w:rPr>
          <w:rFonts w:ascii="Times New Roman" w:hAnsi="Times New Roman" w:cs="Times New Roman"/>
          <w:sz w:val="24"/>
          <w:szCs w:val="24"/>
        </w:rPr>
        <w:t xml:space="preserve"> authorisation for a medicine (Official Gazette of Montenegro</w:t>
      </w:r>
      <w:r w:rsidRPr="0041773A">
        <w:rPr>
          <w:rFonts w:ascii="Times New Roman" w:hAnsi="Times New Roman" w:cs="Times New Roman"/>
          <w:sz w:val="24"/>
          <w:szCs w:val="24"/>
        </w:rPr>
        <w:t xml:space="preserve"> No 21/16) </w:t>
      </w:r>
      <w:r w:rsidR="0011719D" w:rsidRPr="0041773A">
        <w:rPr>
          <w:rFonts w:ascii="Times New Roman" w:hAnsi="Times New Roman" w:cs="Times New Roman"/>
          <w:sz w:val="24"/>
          <w:szCs w:val="24"/>
        </w:rPr>
        <w:t>Rulebook on the contents and manner of labelling the outer and immediate packaging of a medicine and c</w:t>
      </w:r>
      <w:r w:rsidR="000079B9">
        <w:rPr>
          <w:rFonts w:ascii="Times New Roman" w:hAnsi="Times New Roman" w:cs="Times New Roman"/>
          <w:sz w:val="24"/>
          <w:szCs w:val="24"/>
        </w:rPr>
        <w:t>ontent of the package leaflet (Official Gazette of Montenegro</w:t>
      </w:r>
      <w:r w:rsidR="0011719D" w:rsidRPr="0041773A">
        <w:rPr>
          <w:rFonts w:ascii="Times New Roman" w:hAnsi="Times New Roman" w:cs="Times New Roman"/>
          <w:sz w:val="24"/>
          <w:szCs w:val="24"/>
        </w:rPr>
        <w:t xml:space="preserve"> No 21/16) </w:t>
      </w:r>
    </w:p>
    <w:p w14:paraId="4BB5BE0A" w14:textId="77777777" w:rsidR="00794089" w:rsidRPr="0041773A" w:rsidRDefault="0011719D" w:rsidP="00E0345A">
      <w:pPr>
        <w:pStyle w:val="ListParagraph"/>
        <w:numPr>
          <w:ilvl w:val="0"/>
          <w:numId w:val="2"/>
        </w:numPr>
        <w:spacing w:after="0" w:line="240" w:lineRule="auto"/>
        <w:jc w:val="both"/>
        <w:rPr>
          <w:rFonts w:ascii="Times New Roman" w:hAnsi="Times New Roman" w:cs="Times New Roman"/>
          <w:sz w:val="24"/>
          <w:szCs w:val="24"/>
        </w:rPr>
      </w:pPr>
      <w:r w:rsidRPr="0041773A">
        <w:rPr>
          <w:rFonts w:ascii="Times New Roman" w:hAnsi="Times New Roman" w:cs="Times New Roman"/>
          <w:sz w:val="24"/>
          <w:szCs w:val="24"/>
        </w:rPr>
        <w:t>Rulebook on the contents and manner of labelling of the veterinary medicine (</w:t>
      </w:r>
      <w:r w:rsidR="000079B9">
        <w:rPr>
          <w:rFonts w:ascii="Times New Roman" w:hAnsi="Times New Roman" w:cs="Times New Roman"/>
          <w:sz w:val="24"/>
          <w:szCs w:val="24"/>
        </w:rPr>
        <w:t>Official Gazette of Montenegro</w:t>
      </w:r>
      <w:r w:rsidRPr="0041773A">
        <w:rPr>
          <w:rFonts w:ascii="Times New Roman" w:hAnsi="Times New Roman" w:cs="Times New Roman"/>
          <w:sz w:val="24"/>
          <w:szCs w:val="24"/>
        </w:rPr>
        <w:t xml:space="preserve"> No 44/16) </w:t>
      </w:r>
    </w:p>
    <w:p w14:paraId="16486C10" w14:textId="77777777" w:rsidR="00F127F3" w:rsidRPr="0041773A" w:rsidRDefault="00F127F3" w:rsidP="00E0345A">
      <w:pPr>
        <w:pStyle w:val="ListParagraph"/>
        <w:spacing w:after="0" w:line="240" w:lineRule="auto"/>
        <w:jc w:val="both"/>
        <w:rPr>
          <w:rFonts w:ascii="Times New Roman" w:hAnsi="Times New Roman" w:cs="Times New Roman"/>
          <w:sz w:val="24"/>
          <w:szCs w:val="24"/>
        </w:rPr>
      </w:pPr>
    </w:p>
    <w:p w14:paraId="39A05583" w14:textId="77777777" w:rsidR="0052730B" w:rsidRPr="0041773A" w:rsidRDefault="0052730B" w:rsidP="0052730B">
      <w:pPr>
        <w:spacing w:after="0" w:line="240" w:lineRule="auto"/>
        <w:rPr>
          <w:rFonts w:ascii="Times New Roman" w:hAnsi="Times New Roman" w:cs="Times New Roman"/>
          <w:sz w:val="24"/>
          <w:szCs w:val="24"/>
        </w:rPr>
      </w:pPr>
      <w:r w:rsidRPr="0041773A">
        <w:rPr>
          <w:rFonts w:ascii="Times New Roman" w:hAnsi="Times New Roman" w:cs="Times New Roman"/>
          <w:sz w:val="24"/>
          <w:szCs w:val="24"/>
        </w:rPr>
        <w:t>Links to national legislation and rulebooks are available on CALIMS website, at the following link:</w:t>
      </w:r>
    </w:p>
    <w:p w14:paraId="56FD431A" w14:textId="77777777" w:rsidR="0052730B" w:rsidRPr="00D55532" w:rsidRDefault="00170847" w:rsidP="0052730B">
      <w:pPr>
        <w:spacing w:after="0" w:line="240" w:lineRule="auto"/>
        <w:rPr>
          <w:rStyle w:val="Hyperlink"/>
          <w:rFonts w:ascii="Times New Roman" w:hAnsi="Times New Roman" w:cs="Times New Roman"/>
          <w:sz w:val="24"/>
          <w:szCs w:val="24"/>
        </w:rPr>
      </w:pPr>
      <w:hyperlink r:id="rId8" w:history="1">
        <w:r w:rsidR="00AB4490" w:rsidRPr="00D55532">
          <w:rPr>
            <w:rStyle w:val="Hyperlink"/>
            <w:rFonts w:ascii="Times New Roman" w:hAnsi="Times New Roman" w:cs="Times New Roman"/>
            <w:sz w:val="24"/>
            <w:szCs w:val="24"/>
          </w:rPr>
          <w:t>https://www.calims.me/Portal/faces/dinamickeStrane?_afrLoop=348021807913165&amp;paramPut=+%3E+Medical+Devices+%3E+Legislation&amp;paramRender=2&amp;paramS=104&amp;_adf.ctrl-state=7itsogibh_156</w:t>
        </w:r>
      </w:hyperlink>
    </w:p>
    <w:p w14:paraId="7E4E3F23" w14:textId="77777777" w:rsidR="00327381" w:rsidRPr="0041773A" w:rsidRDefault="00327381" w:rsidP="00327381">
      <w:pPr>
        <w:pStyle w:val="ListParagraph"/>
        <w:spacing w:after="0" w:line="240" w:lineRule="auto"/>
        <w:jc w:val="both"/>
        <w:rPr>
          <w:rFonts w:ascii="Times New Roman" w:hAnsi="Times New Roman" w:cs="Times New Roman"/>
          <w:sz w:val="24"/>
          <w:szCs w:val="24"/>
        </w:rPr>
      </w:pPr>
    </w:p>
    <w:p w14:paraId="6DEFA418" w14:textId="77777777" w:rsidR="00327381" w:rsidRPr="0041773A" w:rsidRDefault="00327381" w:rsidP="0052730B">
      <w:pPr>
        <w:spacing w:after="0" w:line="240" w:lineRule="auto"/>
        <w:rPr>
          <w:sz w:val="24"/>
          <w:szCs w:val="24"/>
        </w:rPr>
      </w:pPr>
    </w:p>
    <w:sectPr w:rsidR="00327381" w:rsidRPr="0041773A" w:rsidSect="00E0345A">
      <w:pgSz w:w="11906" w:h="16838"/>
      <w:pgMar w:top="127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E42AC2" w14:textId="77777777" w:rsidR="00170847" w:rsidRDefault="00170847" w:rsidP="00B15027">
      <w:pPr>
        <w:spacing w:after="0" w:line="240" w:lineRule="auto"/>
      </w:pPr>
      <w:r>
        <w:separator/>
      </w:r>
    </w:p>
  </w:endnote>
  <w:endnote w:type="continuationSeparator" w:id="0">
    <w:p w14:paraId="5D5CCA3F" w14:textId="77777777" w:rsidR="00170847" w:rsidRDefault="00170847" w:rsidP="00B150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B535FC" w14:textId="77777777" w:rsidR="00170847" w:rsidRDefault="00170847" w:rsidP="00B15027">
      <w:pPr>
        <w:spacing w:after="0" w:line="240" w:lineRule="auto"/>
      </w:pPr>
      <w:r>
        <w:separator/>
      </w:r>
    </w:p>
  </w:footnote>
  <w:footnote w:type="continuationSeparator" w:id="0">
    <w:p w14:paraId="59EEF9B8" w14:textId="77777777" w:rsidR="00170847" w:rsidRDefault="00170847" w:rsidP="00B15027">
      <w:pPr>
        <w:spacing w:after="0" w:line="240" w:lineRule="auto"/>
      </w:pPr>
      <w:r>
        <w:continuationSeparator/>
      </w:r>
    </w:p>
  </w:footnote>
  <w:footnote w:id="1">
    <w:p w14:paraId="0509077B" w14:textId="638FF524" w:rsidR="00327381" w:rsidRPr="00DA15D8" w:rsidRDefault="00327381" w:rsidP="00E0345A">
      <w:pPr>
        <w:pStyle w:val="EndnoteText"/>
        <w:jc w:val="both"/>
        <w:rPr>
          <w:rFonts w:ascii="Times New Roman" w:hAnsi="Times New Roman" w:cs="Times New Roman"/>
          <w:lang w:val="sr-Latn-ME"/>
        </w:rPr>
      </w:pPr>
      <w:r>
        <w:rPr>
          <w:rStyle w:val="FootnoteReference"/>
        </w:rPr>
        <w:footnoteRef/>
      </w:r>
      <w:r>
        <w:t xml:space="preserve"> </w:t>
      </w:r>
      <w:bookmarkStart w:id="0" w:name="_GoBack"/>
      <w:r w:rsidRPr="00DA15D8">
        <w:rPr>
          <w:rFonts w:ascii="Times New Roman" w:hAnsi="Times New Roman" w:cs="Times New Roman"/>
        </w:rPr>
        <w:t>Provisions that will be in force at the tim</w:t>
      </w:r>
      <w:r>
        <w:rPr>
          <w:rFonts w:ascii="Times New Roman" w:hAnsi="Times New Roman" w:cs="Times New Roman"/>
        </w:rPr>
        <w:t>e</w:t>
      </w:r>
      <w:r w:rsidRPr="00DA15D8">
        <w:rPr>
          <w:rFonts w:ascii="Times New Roman" w:hAnsi="Times New Roman" w:cs="Times New Roman"/>
        </w:rPr>
        <w:t xml:space="preserve"> of the twinning</w:t>
      </w:r>
      <w:r>
        <w:rPr>
          <w:rFonts w:ascii="Times New Roman" w:hAnsi="Times New Roman" w:cs="Times New Roman"/>
        </w:rPr>
        <w:t xml:space="preserve"> realisation</w:t>
      </w:r>
      <w:r w:rsidRPr="00DA15D8">
        <w:rPr>
          <w:rFonts w:ascii="Times New Roman" w:hAnsi="Times New Roman" w:cs="Times New Roman"/>
        </w:rPr>
        <w:t xml:space="preserve"> </w:t>
      </w:r>
      <w:r>
        <w:rPr>
          <w:rFonts w:ascii="Times New Roman" w:hAnsi="Times New Roman" w:cs="Times New Roman"/>
        </w:rPr>
        <w:t>a</w:t>
      </w:r>
      <w:r w:rsidRPr="00DA15D8">
        <w:rPr>
          <w:rFonts w:ascii="Times New Roman" w:hAnsi="Times New Roman" w:cs="Times New Roman"/>
        </w:rPr>
        <w:t>s Regulation 2017/745 shall apply from 26 May 2020</w:t>
      </w:r>
      <w:r w:rsidR="00152BEA">
        <w:rPr>
          <w:rFonts w:ascii="Times New Roman" w:hAnsi="Times New Roman" w:cs="Times New Roman"/>
        </w:rPr>
        <w:t>,</w:t>
      </w:r>
      <w:r w:rsidR="00152BEA" w:rsidRPr="00DA15D8">
        <w:rPr>
          <w:rFonts w:ascii="Times New Roman" w:hAnsi="Times New Roman" w:cs="Times New Roman"/>
        </w:rPr>
        <w:t xml:space="preserve"> </w:t>
      </w:r>
      <w:r w:rsidRPr="00DA15D8">
        <w:rPr>
          <w:rFonts w:ascii="Times New Roman" w:hAnsi="Times New Roman" w:cs="Times New Roman"/>
        </w:rPr>
        <w:t>with the exceptions (governed in Article 123.3</w:t>
      </w:r>
      <w:r>
        <w:rPr>
          <w:rFonts w:ascii="Times New Roman" w:hAnsi="Times New Roman" w:cs="Times New Roman"/>
        </w:rPr>
        <w:t>)</w:t>
      </w:r>
      <w:r w:rsidRPr="00DA15D8">
        <w:rPr>
          <w:rFonts w:ascii="Times New Roman" w:hAnsi="Times New Roman" w:cs="Times New Roman"/>
        </w:rPr>
        <w:t xml:space="preserve"> concerning provisions that are already in force and provisions that will apply on a later date</w:t>
      </w:r>
      <w:r>
        <w:rPr>
          <w:rFonts w:ascii="Times New Roman" w:hAnsi="Times New Roman" w:cs="Times New Roman"/>
        </w:rPr>
        <w:t xml:space="preserve"> </w:t>
      </w:r>
    </w:p>
    <w:p w14:paraId="56F20CAB" w14:textId="1B02F948" w:rsidR="00327381" w:rsidRPr="00327381" w:rsidRDefault="00327381" w:rsidP="00E0345A">
      <w:pPr>
        <w:pStyle w:val="FootnoteText"/>
        <w:jc w:val="both"/>
        <w:rPr>
          <w:lang w:val="sr-Latn-ME"/>
        </w:rPr>
      </w:pPr>
    </w:p>
  </w:footnote>
  <w:footnote w:id="2">
    <w:p w14:paraId="52AC83A4" w14:textId="1D9BCFC8" w:rsidR="00327381" w:rsidRPr="00DA15D8" w:rsidRDefault="00327381" w:rsidP="00E0345A">
      <w:pPr>
        <w:pStyle w:val="EndnoteText"/>
        <w:jc w:val="both"/>
        <w:rPr>
          <w:rFonts w:ascii="Times New Roman" w:hAnsi="Times New Roman" w:cs="Times New Roman"/>
        </w:rPr>
      </w:pPr>
      <w:r>
        <w:rPr>
          <w:rStyle w:val="FootnoteReference"/>
        </w:rPr>
        <w:footnoteRef/>
      </w:r>
      <w:r>
        <w:t xml:space="preserve"> </w:t>
      </w:r>
      <w:r w:rsidRPr="00DA15D8">
        <w:rPr>
          <w:rFonts w:ascii="Times New Roman" w:hAnsi="Times New Roman" w:cs="Times New Roman"/>
        </w:rPr>
        <w:t>Provisions that will be in force at the tim</w:t>
      </w:r>
      <w:r>
        <w:rPr>
          <w:rFonts w:ascii="Times New Roman" w:hAnsi="Times New Roman" w:cs="Times New Roman"/>
        </w:rPr>
        <w:t>e</w:t>
      </w:r>
      <w:r w:rsidRPr="00DA15D8">
        <w:rPr>
          <w:rFonts w:ascii="Times New Roman" w:hAnsi="Times New Roman" w:cs="Times New Roman"/>
        </w:rPr>
        <w:t xml:space="preserve"> of the twinning</w:t>
      </w:r>
      <w:r>
        <w:rPr>
          <w:rFonts w:ascii="Times New Roman" w:hAnsi="Times New Roman" w:cs="Times New Roman"/>
        </w:rPr>
        <w:t xml:space="preserve"> realisation</w:t>
      </w:r>
      <w:r w:rsidRPr="00DA15D8">
        <w:rPr>
          <w:rFonts w:ascii="Times New Roman" w:hAnsi="Times New Roman" w:cs="Times New Roman"/>
        </w:rPr>
        <w:t xml:space="preserve"> </w:t>
      </w:r>
      <w:r>
        <w:rPr>
          <w:rFonts w:ascii="Times New Roman" w:hAnsi="Times New Roman" w:cs="Times New Roman"/>
        </w:rPr>
        <w:t>a</w:t>
      </w:r>
      <w:r w:rsidRPr="00DA15D8">
        <w:rPr>
          <w:rFonts w:ascii="Times New Roman" w:hAnsi="Times New Roman" w:cs="Times New Roman"/>
        </w:rPr>
        <w:t>s Regulation</w:t>
      </w:r>
      <w:r>
        <w:rPr>
          <w:rFonts w:ascii="Times New Roman" w:hAnsi="Times New Roman" w:cs="Times New Roman"/>
        </w:rPr>
        <w:t xml:space="preserve"> </w:t>
      </w:r>
      <w:r w:rsidRPr="00DA15D8">
        <w:rPr>
          <w:rFonts w:ascii="Times New Roman" w:hAnsi="Times New Roman" w:cs="Times New Roman"/>
        </w:rPr>
        <w:t>2017/746</w:t>
      </w:r>
      <w:r>
        <w:rPr>
          <w:rFonts w:ascii="Times New Roman" w:hAnsi="Times New Roman" w:cs="Times New Roman"/>
        </w:rPr>
        <w:t xml:space="preserve"> </w:t>
      </w:r>
      <w:r w:rsidRPr="00DA15D8">
        <w:rPr>
          <w:rFonts w:ascii="Times New Roman" w:hAnsi="Times New Roman" w:cs="Times New Roman"/>
        </w:rPr>
        <w:t>shall apply from 26 May 2022</w:t>
      </w:r>
      <w:r w:rsidR="007A2683">
        <w:rPr>
          <w:rFonts w:ascii="Times New Roman" w:hAnsi="Times New Roman" w:cs="Times New Roman"/>
        </w:rPr>
        <w:t>,</w:t>
      </w:r>
      <w:r w:rsidRPr="00DA15D8">
        <w:rPr>
          <w:rFonts w:ascii="Times New Roman" w:hAnsi="Times New Roman" w:cs="Times New Roman"/>
        </w:rPr>
        <w:t xml:space="preserve"> with the exceptions (governed in Article 113.3</w:t>
      </w:r>
      <w:r>
        <w:rPr>
          <w:rFonts w:ascii="Times New Roman" w:hAnsi="Times New Roman" w:cs="Times New Roman"/>
        </w:rPr>
        <w:t>) c</w:t>
      </w:r>
      <w:r w:rsidRPr="00DA15D8">
        <w:rPr>
          <w:rFonts w:ascii="Times New Roman" w:hAnsi="Times New Roman" w:cs="Times New Roman"/>
        </w:rPr>
        <w:t>oncerning provisions that are already in force and provisions that will apply on a later date.</w:t>
      </w:r>
    </w:p>
    <w:p w14:paraId="3F4318CC" w14:textId="77777777" w:rsidR="00327381" w:rsidRPr="00327381" w:rsidRDefault="00327381" w:rsidP="00327381">
      <w:pPr>
        <w:pStyle w:val="FootnoteText"/>
        <w:rPr>
          <w:lang w:val="sr-Latn-ME"/>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065E34"/>
    <w:multiLevelType w:val="hybridMultilevel"/>
    <w:tmpl w:val="5CCEB6D0"/>
    <w:lvl w:ilvl="0" w:tplc="4998C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55415468"/>
    <w:multiLevelType w:val="hybridMultilevel"/>
    <w:tmpl w:val="DD8CE0E8"/>
    <w:lvl w:ilvl="0" w:tplc="DF5C7056">
      <w:start w:val="1"/>
      <w:numFmt w:val="bullet"/>
      <w:lvlText w:val=""/>
      <w:lvlJc w:val="left"/>
      <w:pPr>
        <w:tabs>
          <w:tab w:val="num" w:pos="720"/>
        </w:tabs>
        <w:ind w:left="720" w:hanging="360"/>
      </w:pPr>
      <w:rPr>
        <w:rFonts w:ascii="Wingdings 3" w:hAnsi="Wingdings 3" w:hint="default"/>
      </w:rPr>
    </w:lvl>
    <w:lvl w:ilvl="1" w:tplc="0116E08C" w:tentative="1">
      <w:start w:val="1"/>
      <w:numFmt w:val="bullet"/>
      <w:lvlText w:val=""/>
      <w:lvlJc w:val="left"/>
      <w:pPr>
        <w:tabs>
          <w:tab w:val="num" w:pos="1440"/>
        </w:tabs>
        <w:ind w:left="1440" w:hanging="360"/>
      </w:pPr>
      <w:rPr>
        <w:rFonts w:ascii="Wingdings 3" w:hAnsi="Wingdings 3" w:hint="default"/>
      </w:rPr>
    </w:lvl>
    <w:lvl w:ilvl="2" w:tplc="F8CA0F88" w:tentative="1">
      <w:start w:val="1"/>
      <w:numFmt w:val="bullet"/>
      <w:lvlText w:val=""/>
      <w:lvlJc w:val="left"/>
      <w:pPr>
        <w:tabs>
          <w:tab w:val="num" w:pos="2160"/>
        </w:tabs>
        <w:ind w:left="2160" w:hanging="360"/>
      </w:pPr>
      <w:rPr>
        <w:rFonts w:ascii="Wingdings 3" w:hAnsi="Wingdings 3" w:hint="default"/>
      </w:rPr>
    </w:lvl>
    <w:lvl w:ilvl="3" w:tplc="4EC8A916" w:tentative="1">
      <w:start w:val="1"/>
      <w:numFmt w:val="bullet"/>
      <w:lvlText w:val=""/>
      <w:lvlJc w:val="left"/>
      <w:pPr>
        <w:tabs>
          <w:tab w:val="num" w:pos="2880"/>
        </w:tabs>
        <w:ind w:left="2880" w:hanging="360"/>
      </w:pPr>
      <w:rPr>
        <w:rFonts w:ascii="Wingdings 3" w:hAnsi="Wingdings 3" w:hint="default"/>
      </w:rPr>
    </w:lvl>
    <w:lvl w:ilvl="4" w:tplc="5FBADD66" w:tentative="1">
      <w:start w:val="1"/>
      <w:numFmt w:val="bullet"/>
      <w:lvlText w:val=""/>
      <w:lvlJc w:val="left"/>
      <w:pPr>
        <w:tabs>
          <w:tab w:val="num" w:pos="3600"/>
        </w:tabs>
        <w:ind w:left="3600" w:hanging="360"/>
      </w:pPr>
      <w:rPr>
        <w:rFonts w:ascii="Wingdings 3" w:hAnsi="Wingdings 3" w:hint="default"/>
      </w:rPr>
    </w:lvl>
    <w:lvl w:ilvl="5" w:tplc="12CEE9F0" w:tentative="1">
      <w:start w:val="1"/>
      <w:numFmt w:val="bullet"/>
      <w:lvlText w:val=""/>
      <w:lvlJc w:val="left"/>
      <w:pPr>
        <w:tabs>
          <w:tab w:val="num" w:pos="4320"/>
        </w:tabs>
        <w:ind w:left="4320" w:hanging="360"/>
      </w:pPr>
      <w:rPr>
        <w:rFonts w:ascii="Wingdings 3" w:hAnsi="Wingdings 3" w:hint="default"/>
      </w:rPr>
    </w:lvl>
    <w:lvl w:ilvl="6" w:tplc="5BA8CF8A" w:tentative="1">
      <w:start w:val="1"/>
      <w:numFmt w:val="bullet"/>
      <w:lvlText w:val=""/>
      <w:lvlJc w:val="left"/>
      <w:pPr>
        <w:tabs>
          <w:tab w:val="num" w:pos="5040"/>
        </w:tabs>
        <w:ind w:left="5040" w:hanging="360"/>
      </w:pPr>
      <w:rPr>
        <w:rFonts w:ascii="Wingdings 3" w:hAnsi="Wingdings 3" w:hint="default"/>
      </w:rPr>
    </w:lvl>
    <w:lvl w:ilvl="7" w:tplc="74229A92" w:tentative="1">
      <w:start w:val="1"/>
      <w:numFmt w:val="bullet"/>
      <w:lvlText w:val=""/>
      <w:lvlJc w:val="left"/>
      <w:pPr>
        <w:tabs>
          <w:tab w:val="num" w:pos="5760"/>
        </w:tabs>
        <w:ind w:left="5760" w:hanging="360"/>
      </w:pPr>
      <w:rPr>
        <w:rFonts w:ascii="Wingdings 3" w:hAnsi="Wingdings 3" w:hint="default"/>
      </w:rPr>
    </w:lvl>
    <w:lvl w:ilvl="8" w:tplc="7E224D9C" w:tentative="1">
      <w:start w:val="1"/>
      <w:numFmt w:val="bullet"/>
      <w:lvlText w:val=""/>
      <w:lvlJc w:val="left"/>
      <w:pPr>
        <w:tabs>
          <w:tab w:val="num" w:pos="6480"/>
        </w:tabs>
        <w:ind w:left="6480" w:hanging="360"/>
      </w:pPr>
      <w:rPr>
        <w:rFonts w:ascii="Wingdings 3" w:hAnsi="Wingdings 3" w:hint="default"/>
      </w:rPr>
    </w:lvl>
  </w:abstractNum>
  <w:abstractNum w:abstractNumId="2" w15:restartNumberingAfterBreak="0">
    <w:nsid w:val="56152D6C"/>
    <w:multiLevelType w:val="hybridMultilevel"/>
    <w:tmpl w:val="8CFC2D66"/>
    <w:lvl w:ilvl="0" w:tplc="4998CDF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CB42324"/>
    <w:multiLevelType w:val="hybridMultilevel"/>
    <w:tmpl w:val="8BF4A9B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4" w15:restartNumberingAfterBreak="0">
    <w:nsid w:val="713F44BE"/>
    <w:multiLevelType w:val="hybridMultilevel"/>
    <w:tmpl w:val="F5123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DE0C7E"/>
    <w:multiLevelType w:val="multilevel"/>
    <w:tmpl w:val="E9643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757"/>
    <w:rsid w:val="000079B9"/>
    <w:rsid w:val="0011719D"/>
    <w:rsid w:val="00127490"/>
    <w:rsid w:val="00141E67"/>
    <w:rsid w:val="00152BEA"/>
    <w:rsid w:val="00170847"/>
    <w:rsid w:val="002C04DE"/>
    <w:rsid w:val="00327381"/>
    <w:rsid w:val="0036619A"/>
    <w:rsid w:val="0041036C"/>
    <w:rsid w:val="0041773A"/>
    <w:rsid w:val="00466EEF"/>
    <w:rsid w:val="0052730B"/>
    <w:rsid w:val="005519CB"/>
    <w:rsid w:val="00794089"/>
    <w:rsid w:val="007A2683"/>
    <w:rsid w:val="0080318E"/>
    <w:rsid w:val="0086629E"/>
    <w:rsid w:val="008B0A3B"/>
    <w:rsid w:val="00942C14"/>
    <w:rsid w:val="00962631"/>
    <w:rsid w:val="00AA5EC1"/>
    <w:rsid w:val="00AB4490"/>
    <w:rsid w:val="00AD7973"/>
    <w:rsid w:val="00B06959"/>
    <w:rsid w:val="00B15027"/>
    <w:rsid w:val="00BF40A8"/>
    <w:rsid w:val="00D55532"/>
    <w:rsid w:val="00D75757"/>
    <w:rsid w:val="00DA15D8"/>
    <w:rsid w:val="00DA6AEE"/>
    <w:rsid w:val="00DB7E18"/>
    <w:rsid w:val="00E0345A"/>
    <w:rsid w:val="00F127F3"/>
    <w:rsid w:val="00F33DD6"/>
    <w:rsid w:val="00F80C5F"/>
    <w:rsid w:val="00F81D94"/>
    <w:rsid w:val="00F972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3C7FE"/>
  <w15:docId w15:val="{84D0CFA5-51C1-4DC3-B0F2-46041B9DD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2730B"/>
    <w:rPr>
      <w:color w:val="0000FF"/>
      <w:u w:val="single"/>
    </w:rPr>
  </w:style>
  <w:style w:type="character" w:customStyle="1" w:styleId="apple-converted-space">
    <w:name w:val="apple-converted-space"/>
    <w:basedOn w:val="DefaultParagraphFont"/>
    <w:rsid w:val="0052730B"/>
  </w:style>
  <w:style w:type="paragraph" w:styleId="ListParagraph">
    <w:name w:val="List Paragraph"/>
    <w:basedOn w:val="Normal"/>
    <w:uiPriority w:val="34"/>
    <w:qFormat/>
    <w:rsid w:val="0052730B"/>
    <w:pPr>
      <w:ind w:left="720"/>
      <w:contextualSpacing/>
    </w:pPr>
  </w:style>
  <w:style w:type="paragraph" w:styleId="NormalWeb">
    <w:name w:val="Normal (Web)"/>
    <w:basedOn w:val="Normal"/>
    <w:uiPriority w:val="99"/>
    <w:semiHidden/>
    <w:unhideWhenUsed/>
    <w:rsid w:val="0052730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1171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719D"/>
    <w:rPr>
      <w:rFonts w:ascii="Segoe UI" w:hAnsi="Segoe UI" w:cs="Segoe UI"/>
      <w:sz w:val="18"/>
      <w:szCs w:val="18"/>
    </w:rPr>
  </w:style>
  <w:style w:type="character" w:styleId="CommentReference">
    <w:name w:val="annotation reference"/>
    <w:basedOn w:val="DefaultParagraphFont"/>
    <w:uiPriority w:val="99"/>
    <w:semiHidden/>
    <w:unhideWhenUsed/>
    <w:rsid w:val="00466EEF"/>
    <w:rPr>
      <w:sz w:val="16"/>
      <w:szCs w:val="16"/>
    </w:rPr>
  </w:style>
  <w:style w:type="paragraph" w:styleId="CommentText">
    <w:name w:val="annotation text"/>
    <w:basedOn w:val="Normal"/>
    <w:link w:val="CommentTextChar"/>
    <w:uiPriority w:val="99"/>
    <w:semiHidden/>
    <w:unhideWhenUsed/>
    <w:rsid w:val="00466EEF"/>
    <w:pPr>
      <w:spacing w:line="240" w:lineRule="auto"/>
    </w:pPr>
    <w:rPr>
      <w:sz w:val="20"/>
      <w:szCs w:val="20"/>
    </w:rPr>
  </w:style>
  <w:style w:type="character" w:customStyle="1" w:styleId="CommentTextChar">
    <w:name w:val="Comment Text Char"/>
    <w:basedOn w:val="DefaultParagraphFont"/>
    <w:link w:val="CommentText"/>
    <w:uiPriority w:val="99"/>
    <w:semiHidden/>
    <w:rsid w:val="00466EEF"/>
    <w:rPr>
      <w:sz w:val="20"/>
      <w:szCs w:val="20"/>
    </w:rPr>
  </w:style>
  <w:style w:type="paragraph" w:styleId="CommentSubject">
    <w:name w:val="annotation subject"/>
    <w:basedOn w:val="CommentText"/>
    <w:next w:val="CommentText"/>
    <w:link w:val="CommentSubjectChar"/>
    <w:uiPriority w:val="99"/>
    <w:semiHidden/>
    <w:unhideWhenUsed/>
    <w:rsid w:val="00466EEF"/>
    <w:rPr>
      <w:b/>
      <w:bCs/>
    </w:rPr>
  </w:style>
  <w:style w:type="character" w:customStyle="1" w:styleId="CommentSubjectChar">
    <w:name w:val="Comment Subject Char"/>
    <w:basedOn w:val="CommentTextChar"/>
    <w:link w:val="CommentSubject"/>
    <w:uiPriority w:val="99"/>
    <w:semiHidden/>
    <w:rsid w:val="00466EEF"/>
    <w:rPr>
      <w:b/>
      <w:bCs/>
      <w:sz w:val="20"/>
      <w:szCs w:val="20"/>
    </w:rPr>
  </w:style>
  <w:style w:type="paragraph" w:styleId="Header">
    <w:name w:val="header"/>
    <w:basedOn w:val="Normal"/>
    <w:link w:val="HeaderChar"/>
    <w:uiPriority w:val="99"/>
    <w:unhideWhenUsed/>
    <w:rsid w:val="00B15027"/>
    <w:pPr>
      <w:tabs>
        <w:tab w:val="center" w:pos="4536"/>
        <w:tab w:val="right" w:pos="9072"/>
      </w:tabs>
      <w:spacing w:after="0" w:line="240" w:lineRule="auto"/>
    </w:pPr>
  </w:style>
  <w:style w:type="character" w:customStyle="1" w:styleId="HeaderChar">
    <w:name w:val="Header Char"/>
    <w:basedOn w:val="DefaultParagraphFont"/>
    <w:link w:val="Header"/>
    <w:uiPriority w:val="99"/>
    <w:rsid w:val="00B15027"/>
  </w:style>
  <w:style w:type="paragraph" w:styleId="Footer">
    <w:name w:val="footer"/>
    <w:basedOn w:val="Normal"/>
    <w:link w:val="FooterChar"/>
    <w:uiPriority w:val="99"/>
    <w:unhideWhenUsed/>
    <w:rsid w:val="00B15027"/>
    <w:pPr>
      <w:tabs>
        <w:tab w:val="center" w:pos="4536"/>
        <w:tab w:val="right" w:pos="9072"/>
      </w:tabs>
      <w:spacing w:after="0" w:line="240" w:lineRule="auto"/>
    </w:pPr>
  </w:style>
  <w:style w:type="character" w:customStyle="1" w:styleId="FooterChar">
    <w:name w:val="Footer Char"/>
    <w:basedOn w:val="DefaultParagraphFont"/>
    <w:link w:val="Footer"/>
    <w:uiPriority w:val="99"/>
    <w:rsid w:val="00B15027"/>
  </w:style>
  <w:style w:type="paragraph" w:styleId="EndnoteText">
    <w:name w:val="endnote text"/>
    <w:basedOn w:val="Normal"/>
    <w:link w:val="EndnoteTextChar"/>
    <w:uiPriority w:val="99"/>
    <w:semiHidden/>
    <w:unhideWhenUsed/>
    <w:rsid w:val="00B1502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15027"/>
    <w:rPr>
      <w:sz w:val="20"/>
      <w:szCs w:val="20"/>
    </w:rPr>
  </w:style>
  <w:style w:type="character" w:styleId="EndnoteReference">
    <w:name w:val="endnote reference"/>
    <w:basedOn w:val="DefaultParagraphFont"/>
    <w:uiPriority w:val="99"/>
    <w:semiHidden/>
    <w:unhideWhenUsed/>
    <w:rsid w:val="00B15027"/>
    <w:rPr>
      <w:vertAlign w:val="superscript"/>
    </w:rPr>
  </w:style>
  <w:style w:type="paragraph" w:styleId="FootnoteText">
    <w:name w:val="footnote text"/>
    <w:basedOn w:val="Normal"/>
    <w:link w:val="FootnoteTextChar"/>
    <w:uiPriority w:val="99"/>
    <w:semiHidden/>
    <w:unhideWhenUsed/>
    <w:rsid w:val="0032738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27381"/>
    <w:rPr>
      <w:sz w:val="20"/>
      <w:szCs w:val="20"/>
    </w:rPr>
  </w:style>
  <w:style w:type="character" w:styleId="FootnoteReference">
    <w:name w:val="footnote reference"/>
    <w:basedOn w:val="DefaultParagraphFont"/>
    <w:uiPriority w:val="99"/>
    <w:semiHidden/>
    <w:unhideWhenUsed/>
    <w:rsid w:val="003273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102503">
      <w:bodyDiv w:val="1"/>
      <w:marLeft w:val="0"/>
      <w:marRight w:val="0"/>
      <w:marTop w:val="0"/>
      <w:marBottom w:val="0"/>
      <w:divBdr>
        <w:top w:val="none" w:sz="0" w:space="0" w:color="auto"/>
        <w:left w:val="none" w:sz="0" w:space="0" w:color="auto"/>
        <w:bottom w:val="none" w:sz="0" w:space="0" w:color="auto"/>
        <w:right w:val="none" w:sz="0" w:space="0" w:color="auto"/>
      </w:divBdr>
    </w:div>
    <w:div w:id="1507938883">
      <w:bodyDiv w:val="1"/>
      <w:marLeft w:val="0"/>
      <w:marRight w:val="0"/>
      <w:marTop w:val="0"/>
      <w:marBottom w:val="0"/>
      <w:divBdr>
        <w:top w:val="none" w:sz="0" w:space="0" w:color="auto"/>
        <w:left w:val="none" w:sz="0" w:space="0" w:color="auto"/>
        <w:bottom w:val="none" w:sz="0" w:space="0" w:color="auto"/>
        <w:right w:val="none" w:sz="0" w:space="0" w:color="auto"/>
      </w:divBdr>
    </w:div>
    <w:div w:id="2064136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lims.me/Portal/faces/dinamickeStrane?_afrLoop=348021807913165&amp;paramPut=+%3E+Medical+Devices+%3E+Legislation&amp;paramRender=2&amp;paramS=104&amp;_adf.ctrl-state=7itsogibh_15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D6D66940-428B-485D-84F6-33861A03E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826</Words>
  <Characters>4710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 Sassella</dc:creator>
  <cp:lastModifiedBy>Bojana Kaludjerovic</cp:lastModifiedBy>
  <cp:revision>6</cp:revision>
  <cp:lastPrinted>2019-11-18T12:35:00Z</cp:lastPrinted>
  <dcterms:created xsi:type="dcterms:W3CDTF">2019-11-18T12:38:00Z</dcterms:created>
  <dcterms:modified xsi:type="dcterms:W3CDTF">2019-11-20T13:02:00Z</dcterms:modified>
</cp:coreProperties>
</file>